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F5BE3" w14:textId="77777777" w:rsidR="00C9212C" w:rsidRDefault="00C9212C" w:rsidP="00C9212C">
      <w:pPr>
        <w:pStyle w:val="Heading1"/>
        <w:rPr>
          <w:rFonts w:ascii="Aptos" w:hAnsi="Aptos"/>
          <w:b/>
          <w:bCs/>
          <w:color w:val="auto"/>
          <w:sz w:val="36"/>
          <w:szCs w:val="36"/>
        </w:rPr>
      </w:pPr>
      <w:r w:rsidRPr="00EF3C52">
        <w:rPr>
          <w:rFonts w:ascii="Aptos" w:hAnsi="Aptos"/>
          <w:b/>
          <w:bCs/>
          <w:color w:val="auto"/>
          <w:sz w:val="36"/>
          <w:szCs w:val="36"/>
        </w:rPr>
        <w:t>Ortigas Land Introduces Costa Calatagan, a Community-Centered Coastal Estate in Batangas</w:t>
      </w:r>
    </w:p>
    <w:p w14:paraId="3E7CDAB9" w14:textId="626B45BE" w:rsidR="000E39A7" w:rsidRPr="000E39A7" w:rsidRDefault="000E39A7" w:rsidP="000E39A7">
      <w:r>
        <w:rPr>
          <w:noProof/>
        </w:rPr>
        <w:drawing>
          <wp:inline distT="0" distB="0" distL="0" distR="0" wp14:anchorId="538A0E67" wp14:editId="1BC4A59C">
            <wp:extent cx="5943600" cy="3343275"/>
            <wp:effectExtent l="0" t="0" r="0" b="9525"/>
            <wp:docPr id="220019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FC6F9" w14:textId="7F4FB3C6" w:rsidR="00E472D8" w:rsidRPr="00E472D8" w:rsidRDefault="00E472D8" w:rsidP="00E472D8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sz w:val="22"/>
          <w:szCs w:val="22"/>
          <w14:ligatures w14:val="none"/>
        </w:rPr>
      </w:pPr>
      <w:r w:rsidRPr="00B11C0F">
        <w:rPr>
          <w:rFonts w:ascii="Aptos" w:eastAsia="Times New Roman" w:hAnsi="Aptos" w:cs="Times New Roman"/>
          <w:b/>
          <w:bCs/>
          <w:i/>
          <w:iCs/>
          <w:kern w:val="0"/>
          <w:sz w:val="22"/>
          <w:szCs w:val="22"/>
          <w14:ligatures w14:val="none"/>
        </w:rPr>
        <w:t>Calatagan,</w:t>
      </w:r>
      <w:r w:rsidR="00B11C0F" w:rsidRPr="00B11C0F">
        <w:rPr>
          <w:rFonts w:ascii="Aptos" w:eastAsia="Times New Roman" w:hAnsi="Aptos" w:cs="Times New Roman"/>
          <w:b/>
          <w:bCs/>
          <w:i/>
          <w:iCs/>
          <w:kern w:val="0"/>
          <w:sz w:val="22"/>
          <w:szCs w:val="22"/>
          <w14:ligatures w14:val="none"/>
        </w:rPr>
        <w:t xml:space="preserve"> Batangas, August 5, 2025</w:t>
      </w:r>
      <w:r w:rsidR="00B11C0F">
        <w:rPr>
          <w:rFonts w:ascii="Aptos" w:eastAsia="Times New Roman" w:hAnsi="Aptos" w:cs="Times New Roman"/>
          <w:i/>
          <w:iCs/>
          <w:kern w:val="0"/>
          <w:sz w:val="22"/>
          <w:szCs w:val="22"/>
          <w14:ligatures w14:val="none"/>
        </w:rPr>
        <w:t xml:space="preserve"> </w:t>
      </w:r>
      <w:r w:rsidRPr="00E472D8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 xml:space="preserve">— Ortigas Land today announced the official launch of </w:t>
      </w:r>
      <w:r w:rsidRPr="00E472D8">
        <w:rPr>
          <w:rFonts w:ascii="Aptos" w:eastAsia="Times New Roman" w:hAnsi="Aptos" w:cs="Times New Roman"/>
          <w:b/>
          <w:bCs/>
          <w:kern w:val="0"/>
          <w:sz w:val="22"/>
          <w:szCs w:val="22"/>
          <w14:ligatures w14:val="none"/>
        </w:rPr>
        <w:t>Costa Calatagan</w:t>
      </w:r>
      <w:r w:rsidRPr="00E472D8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>, a 45-hectare mixed-use leisure estate located along a 4</w:t>
      </w:r>
      <w:r w:rsidR="003E5BFF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>24</w:t>
      </w:r>
      <w:r w:rsidRPr="00E472D8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>-meter beachfront in Calatagan, Batangas. With direct access via the Zobel Highway, the project represents the company’s first entry into the resort-residential</w:t>
      </w:r>
      <w:r w:rsidR="00DA7DCA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 xml:space="preserve"> segment.</w:t>
      </w:r>
    </w:p>
    <w:p w14:paraId="4ED11B38" w14:textId="76428745" w:rsidR="00E472D8" w:rsidRPr="00E472D8" w:rsidRDefault="00E472D8" w:rsidP="00E472D8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sz w:val="22"/>
          <w:szCs w:val="22"/>
          <w14:ligatures w14:val="none"/>
        </w:rPr>
      </w:pPr>
      <w:r w:rsidRPr="00E472D8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 xml:space="preserve">The estate integrates two primary components: an all-villa resort managed by Ortigas Land and a residential enclave offering a total of 219 lots. </w:t>
      </w:r>
      <w:r w:rsidRPr="00554F18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>Phase 1 recorded a 9</w:t>
      </w:r>
      <w:r w:rsidR="003E5BFF" w:rsidRPr="00554F18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>4</w:t>
      </w:r>
      <w:r w:rsidRPr="00554F18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>% take-up on launch day</w:t>
      </w:r>
      <w:r w:rsidRPr="00E472D8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 xml:space="preserve">, underscoring robust market demand for leisure-integrated properties within drivable distance of Metro Manila. </w:t>
      </w:r>
      <w:r w:rsidRPr="00554F18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>Phase 2 is slated to open in 2026</w:t>
      </w:r>
      <w:r w:rsidRPr="00E472D8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 xml:space="preserve">, in parallel with the resort’s soft </w:t>
      </w:r>
      <w:r w:rsidR="005671A7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>opening</w:t>
      </w:r>
      <w:r w:rsidRPr="00E472D8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>.</w:t>
      </w:r>
    </w:p>
    <w:p w14:paraId="470E083D" w14:textId="77777777" w:rsidR="00E472D8" w:rsidRPr="00E472D8" w:rsidRDefault="00000000" w:rsidP="00E472D8">
      <w:pPr>
        <w:spacing w:after="0" w:line="240" w:lineRule="auto"/>
        <w:rPr>
          <w:rFonts w:ascii="Aptos" w:eastAsia="Times New Roman" w:hAnsi="Aptos" w:cs="Times New Roman"/>
          <w:kern w:val="0"/>
          <w:sz w:val="22"/>
          <w:szCs w:val="22"/>
          <w14:ligatures w14:val="none"/>
        </w:rPr>
      </w:pPr>
      <w:r>
        <w:rPr>
          <w:rFonts w:ascii="Aptos" w:eastAsia="Times New Roman" w:hAnsi="Aptos" w:cs="Times New Roman"/>
          <w:noProof/>
          <w:kern w:val="0"/>
          <w:sz w:val="22"/>
          <w:szCs w:val="22"/>
        </w:rPr>
        <w:pict w14:anchorId="053BFC90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05EDE49" w14:textId="77777777" w:rsidR="00E472D8" w:rsidRPr="00E472D8" w:rsidRDefault="00E472D8" w:rsidP="00E472D8">
      <w:pPr>
        <w:spacing w:before="100" w:beforeAutospacing="1" w:after="100" w:afterAutospacing="1" w:line="240" w:lineRule="auto"/>
        <w:outlineLvl w:val="1"/>
        <w:rPr>
          <w:rFonts w:ascii="Aptos" w:eastAsia="Times New Roman" w:hAnsi="Aptos" w:cs="Times New Roman"/>
          <w:b/>
          <w:bCs/>
          <w:kern w:val="0"/>
          <w:sz w:val="32"/>
          <w:szCs w:val="32"/>
          <w14:ligatures w14:val="none"/>
        </w:rPr>
      </w:pPr>
      <w:r w:rsidRPr="00E472D8">
        <w:rPr>
          <w:rFonts w:ascii="Aptos" w:eastAsia="Times New Roman" w:hAnsi="Aptos" w:cs="Times New Roman"/>
          <w:b/>
          <w:bCs/>
          <w:kern w:val="0"/>
          <w:sz w:val="32"/>
          <w:szCs w:val="32"/>
          <w14:ligatures w14:val="none"/>
        </w:rPr>
        <w:t>Integrated Masterplan Anchored on Low-Density Development</w:t>
      </w:r>
    </w:p>
    <w:p w14:paraId="52824CFE" w14:textId="7F54AFD6" w:rsidR="00E472D8" w:rsidRPr="00E472D8" w:rsidRDefault="00E472D8" w:rsidP="00E472D8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sz w:val="22"/>
          <w:szCs w:val="22"/>
          <w14:ligatures w14:val="none"/>
        </w:rPr>
      </w:pPr>
      <w:r w:rsidRPr="00E472D8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 xml:space="preserve">Costa Calatagan is master-planned as a low-density, mixed-use </w:t>
      </w:r>
      <w:r w:rsidR="005671A7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 xml:space="preserve">leisure </w:t>
      </w:r>
      <w:r w:rsidRPr="00E472D8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 xml:space="preserve">estate with operational synergies between its hospitality and residential components. Shared amenities include a </w:t>
      </w:r>
      <w:r w:rsidR="005671A7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 xml:space="preserve">5-hectare beach, </w:t>
      </w:r>
      <w:r w:rsidRPr="00554F18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>seaside clubhouse</w:t>
      </w:r>
      <w:r w:rsidR="00DB53BF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 xml:space="preserve"> with pools</w:t>
      </w:r>
      <w:r w:rsidRPr="00554F18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>, a sports and recreation facility</w:t>
      </w:r>
      <w:r w:rsidRPr="00E472D8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 xml:space="preserve">, and a </w:t>
      </w:r>
      <w:r w:rsidRPr="00554F18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>pedestrian trail network</w:t>
      </w:r>
      <w:r w:rsidRPr="00E472D8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>, designed to promote connectivity, open space preservation, and long-term asset value. Rolling terrain was optimized to enable natural separation between product clusters and to enhance view corridors across the development.</w:t>
      </w:r>
    </w:p>
    <w:p w14:paraId="6BD08822" w14:textId="3828197F" w:rsidR="00E472D8" w:rsidRPr="00E472D8" w:rsidRDefault="00E472D8" w:rsidP="00E472D8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sz w:val="22"/>
          <w:szCs w:val="22"/>
          <w14:ligatures w14:val="none"/>
        </w:rPr>
      </w:pPr>
      <w:r w:rsidRPr="00E472D8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lastRenderedPageBreak/>
        <w:t xml:space="preserve">The estate is supported by strategic </w:t>
      </w:r>
      <w:r w:rsidRPr="00127E55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>lifestyle partnerships</w:t>
      </w:r>
      <w:r w:rsidRPr="00E472D8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 xml:space="preserve">, including </w:t>
      </w:r>
      <w:r w:rsidRPr="00127E55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>Europa Yachts</w:t>
      </w:r>
      <w:r w:rsidRPr="00E472D8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 xml:space="preserve">, which provides residents and guests with access to </w:t>
      </w:r>
      <w:r w:rsidR="00DA7DCA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 xml:space="preserve">yacht </w:t>
      </w:r>
      <w:r w:rsidR="00126853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>charters</w:t>
      </w:r>
      <w:r w:rsidR="00DA7DCA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 xml:space="preserve"> and boat tours</w:t>
      </w:r>
      <w:r w:rsidRPr="00E472D8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 xml:space="preserve">, and the </w:t>
      </w:r>
      <w:r w:rsidRPr="00127E55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>Calatagan Golf Club</w:t>
      </w:r>
      <w:r w:rsidRPr="00E472D8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 xml:space="preserve">, located approximately </w:t>
      </w:r>
      <w:r w:rsidRPr="00127E55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>5 kilometers south of the estate or about a 10-minute drive</w:t>
      </w:r>
      <w:r w:rsidRPr="00E472D8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>. These partnerships expand the area’s recreational ecosystem and broaden appeal among experience-driven end-users.</w:t>
      </w:r>
    </w:p>
    <w:p w14:paraId="3A03831A" w14:textId="77777777" w:rsidR="00E472D8" w:rsidRPr="00E472D8" w:rsidRDefault="00000000" w:rsidP="00E472D8">
      <w:pPr>
        <w:spacing w:after="0" w:line="240" w:lineRule="auto"/>
        <w:rPr>
          <w:rFonts w:ascii="Aptos" w:eastAsia="Times New Roman" w:hAnsi="Aptos" w:cs="Times New Roman"/>
          <w:kern w:val="0"/>
          <w:sz w:val="22"/>
          <w:szCs w:val="22"/>
          <w14:ligatures w14:val="none"/>
        </w:rPr>
      </w:pPr>
      <w:r>
        <w:rPr>
          <w:rFonts w:ascii="Aptos" w:eastAsia="Times New Roman" w:hAnsi="Aptos" w:cs="Times New Roman"/>
          <w:noProof/>
          <w:kern w:val="0"/>
          <w:sz w:val="22"/>
          <w:szCs w:val="22"/>
        </w:rPr>
        <w:pict w14:anchorId="6954CD45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33C954F0" w14:textId="77777777" w:rsidR="00E472D8" w:rsidRDefault="00E472D8" w:rsidP="00E472D8">
      <w:pPr>
        <w:spacing w:before="100" w:beforeAutospacing="1" w:after="100" w:afterAutospacing="1" w:line="240" w:lineRule="auto"/>
        <w:outlineLvl w:val="1"/>
        <w:rPr>
          <w:rFonts w:ascii="Aptos" w:eastAsia="Times New Roman" w:hAnsi="Aptos" w:cs="Times New Roman"/>
          <w:b/>
          <w:bCs/>
          <w:kern w:val="0"/>
          <w:sz w:val="32"/>
          <w:szCs w:val="32"/>
          <w14:ligatures w14:val="none"/>
        </w:rPr>
      </w:pPr>
      <w:r w:rsidRPr="00E472D8">
        <w:rPr>
          <w:rFonts w:ascii="Aptos" w:eastAsia="Times New Roman" w:hAnsi="Aptos" w:cs="Times New Roman"/>
          <w:b/>
          <w:bCs/>
          <w:kern w:val="0"/>
          <w:sz w:val="32"/>
          <w:szCs w:val="32"/>
          <w14:ligatures w14:val="none"/>
        </w:rPr>
        <w:t>Resort Component: Long-Term Hospitality Asset Under Ortigas Management</w:t>
      </w:r>
    </w:p>
    <w:p w14:paraId="13918CE5" w14:textId="54DEBD8B" w:rsidR="000E39A7" w:rsidRPr="00E472D8" w:rsidRDefault="000E39A7" w:rsidP="00E472D8">
      <w:pPr>
        <w:spacing w:before="100" w:beforeAutospacing="1" w:after="100" w:afterAutospacing="1" w:line="240" w:lineRule="auto"/>
        <w:outlineLvl w:val="1"/>
        <w:rPr>
          <w:rFonts w:ascii="Aptos" w:eastAsia="Times New Roman" w:hAnsi="Aptos" w:cs="Times New Roman"/>
          <w:b/>
          <w:bCs/>
          <w:kern w:val="0"/>
          <w:sz w:val="32"/>
          <w:szCs w:val="32"/>
          <w14:ligatures w14:val="none"/>
        </w:rPr>
      </w:pPr>
      <w:r>
        <w:rPr>
          <w:rFonts w:ascii="Aptos" w:eastAsia="Times New Roman" w:hAnsi="Aptos" w:cs="Times New Roman"/>
          <w:b/>
          <w:bCs/>
          <w:noProof/>
          <w:kern w:val="0"/>
          <w:sz w:val="32"/>
          <w:szCs w:val="32"/>
          <w14:ligatures w14:val="none"/>
        </w:rPr>
        <w:drawing>
          <wp:inline distT="0" distB="0" distL="0" distR="0" wp14:anchorId="71BDF10B" wp14:editId="07D544FF">
            <wp:extent cx="5943600" cy="3962400"/>
            <wp:effectExtent l="0" t="0" r="0" b="0"/>
            <wp:docPr id="15497073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C4285" w14:textId="25CC9433" w:rsidR="00E472D8" w:rsidRDefault="00E472D8" w:rsidP="00E472D8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sz w:val="22"/>
          <w:szCs w:val="22"/>
          <w14:ligatures w14:val="none"/>
        </w:rPr>
      </w:pPr>
      <w:r w:rsidRPr="00E472D8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 xml:space="preserve">The </w:t>
      </w:r>
      <w:r w:rsidRPr="00127E55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>resort component</w:t>
      </w:r>
      <w:r w:rsidRPr="00E472D8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 xml:space="preserve"> consists of over 12</w:t>
      </w:r>
      <w:r w:rsidR="00A944C5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>3</w:t>
      </w:r>
      <w:r w:rsidRPr="00E472D8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 xml:space="preserve"> villas and will be operational in phases </w:t>
      </w:r>
      <w:r w:rsidR="00DB53BF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>in</w:t>
      </w:r>
      <w:r w:rsidRPr="00127E55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 xml:space="preserve"> 2026</w:t>
      </w:r>
      <w:r w:rsidRPr="00E472D8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>. The Ortigas-managed resort will offer dedicated hospitality operations and service architecture tailored to high-value, low-density stays. A welcome pavilion with a guest pool, five on-site dining concepts, and integrated access to select estate amenities are key features of the resort experience.</w:t>
      </w:r>
    </w:p>
    <w:p w14:paraId="10AEAC39" w14:textId="77777777" w:rsidR="000E39A7" w:rsidRDefault="000E39A7" w:rsidP="00E472D8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sz w:val="22"/>
          <w:szCs w:val="22"/>
          <w14:ligatures w14:val="none"/>
        </w:rPr>
      </w:pPr>
    </w:p>
    <w:p w14:paraId="7D14A69C" w14:textId="77777777" w:rsidR="000E39A7" w:rsidRDefault="000E39A7" w:rsidP="00E472D8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sz w:val="22"/>
          <w:szCs w:val="22"/>
          <w14:ligatures w14:val="none"/>
        </w:rPr>
      </w:pPr>
    </w:p>
    <w:p w14:paraId="27D3EA6E" w14:textId="77777777" w:rsidR="000E39A7" w:rsidRPr="00E472D8" w:rsidRDefault="000E39A7" w:rsidP="00E472D8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sz w:val="22"/>
          <w:szCs w:val="22"/>
          <w14:ligatures w14:val="none"/>
        </w:rPr>
      </w:pPr>
    </w:p>
    <w:p w14:paraId="73524F60" w14:textId="77777777" w:rsidR="00E472D8" w:rsidRPr="00E472D8" w:rsidRDefault="00000000" w:rsidP="00E472D8">
      <w:pPr>
        <w:spacing w:after="0" w:line="240" w:lineRule="auto"/>
        <w:rPr>
          <w:rFonts w:ascii="Aptos" w:eastAsia="Times New Roman" w:hAnsi="Aptos" w:cs="Times New Roman"/>
          <w:kern w:val="0"/>
          <w:sz w:val="22"/>
          <w:szCs w:val="22"/>
          <w14:ligatures w14:val="none"/>
        </w:rPr>
      </w:pPr>
      <w:r>
        <w:rPr>
          <w:rFonts w:ascii="Aptos" w:eastAsia="Times New Roman" w:hAnsi="Aptos" w:cs="Times New Roman"/>
          <w:noProof/>
          <w:kern w:val="0"/>
          <w:sz w:val="22"/>
          <w:szCs w:val="22"/>
        </w:rPr>
        <w:lastRenderedPageBreak/>
        <w:pict w14:anchorId="7553B4CE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37BBFAA8" w14:textId="175BE849" w:rsidR="00E472D8" w:rsidRPr="00E472D8" w:rsidRDefault="00E472D8" w:rsidP="00E472D8">
      <w:pPr>
        <w:spacing w:before="100" w:beforeAutospacing="1" w:after="100" w:afterAutospacing="1" w:line="240" w:lineRule="auto"/>
        <w:outlineLvl w:val="1"/>
        <w:rPr>
          <w:rFonts w:ascii="Aptos" w:eastAsia="Times New Roman" w:hAnsi="Aptos" w:cs="Times New Roman"/>
          <w:b/>
          <w:bCs/>
          <w:kern w:val="0"/>
          <w:sz w:val="32"/>
          <w:szCs w:val="32"/>
          <w14:ligatures w14:val="none"/>
        </w:rPr>
      </w:pPr>
      <w:r w:rsidRPr="00E472D8">
        <w:rPr>
          <w:rFonts w:ascii="Aptos" w:eastAsia="Times New Roman" w:hAnsi="Aptos" w:cs="Times New Roman"/>
          <w:b/>
          <w:bCs/>
          <w:kern w:val="0"/>
          <w:sz w:val="32"/>
          <w:szCs w:val="32"/>
          <w14:ligatures w14:val="none"/>
        </w:rPr>
        <w:t xml:space="preserve">Private Villas: </w:t>
      </w:r>
      <w:r w:rsidR="00C64E25">
        <w:rPr>
          <w:rFonts w:ascii="Aptos" w:eastAsia="Times New Roman" w:hAnsi="Aptos" w:cs="Times New Roman"/>
          <w:b/>
          <w:bCs/>
          <w:kern w:val="0"/>
          <w:sz w:val="32"/>
          <w:szCs w:val="32"/>
          <w14:ligatures w14:val="none"/>
        </w:rPr>
        <w:t>Exclusive Homes in a Nature-Rich Estate</w:t>
      </w:r>
    </w:p>
    <w:p w14:paraId="26278E54" w14:textId="77777777" w:rsidR="00127E55" w:rsidRDefault="00F77049" w:rsidP="00F77049">
      <w:pPr>
        <w:spacing w:before="240" w:after="240" w:line="240" w:lineRule="auto"/>
        <w:rPr>
          <w:rFonts w:ascii="Aptos" w:eastAsia="Times New Roman" w:hAnsi="Aptos" w:cs="Times New Roman"/>
          <w:kern w:val="0"/>
          <w:sz w:val="22"/>
          <w:szCs w:val="22"/>
          <w14:ligatures w14:val="none"/>
        </w:rPr>
      </w:pPr>
      <w:r w:rsidRPr="00F77049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>The Private Villas are positioned for long-term homeownership, with lot sizes ranging from 450 to 700 square meters, offering flexibility for custom-built residences designed for retreat and recreation.</w:t>
      </w:r>
    </w:p>
    <w:p w14:paraId="546E95D2" w14:textId="329F5909" w:rsidR="00F77049" w:rsidRDefault="00F77049" w:rsidP="00F77049">
      <w:pPr>
        <w:spacing w:before="240" w:after="240" w:line="240" w:lineRule="auto"/>
        <w:rPr>
          <w:rFonts w:ascii="Aptos" w:eastAsia="Times New Roman" w:hAnsi="Aptos" w:cs="Times New Roman"/>
          <w:kern w:val="0"/>
          <w:sz w:val="22"/>
          <w:szCs w:val="22"/>
          <w14:ligatures w14:val="none"/>
        </w:rPr>
      </w:pPr>
      <w:r w:rsidRPr="00F77049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>A defining feature of the estate’s residential design is the absence of back-to-back lots, enhancing privacy, light, and airflow throughout. Many lots are situated within preserved mango and acacia orchards, providing natural shade, tree cover, and a mature, immediate landscape identity.</w:t>
      </w:r>
    </w:p>
    <w:p w14:paraId="039CC82E" w14:textId="6BFFEE87" w:rsidR="00E472D8" w:rsidRPr="00F77049" w:rsidRDefault="00F77049" w:rsidP="00F77049">
      <w:pPr>
        <w:spacing w:before="240" w:after="240" w:line="240" w:lineRule="auto"/>
        <w:rPr>
          <w:rFonts w:ascii="Aptos" w:eastAsia="Times New Roman" w:hAnsi="Aptos" w:cs="Times New Roman"/>
          <w:kern w:val="0"/>
          <w:sz w:val="22"/>
          <w:szCs w:val="22"/>
          <w14:ligatures w14:val="none"/>
        </w:rPr>
      </w:pPr>
      <w:r w:rsidRPr="00F77049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>Private Villa homeowners will also gain access to exclusive amenities, including a dedicated clubhouse with an infinity pool and a yoga pavilion nestled in the orchard area—both placed to deliver a quiet counterpoint to the resort’s hospitality core.</w:t>
      </w:r>
      <w:r w:rsidR="00000000">
        <w:rPr>
          <w:rFonts w:ascii="Aptos" w:eastAsia="Times New Roman" w:hAnsi="Aptos" w:cs="Times New Roman"/>
          <w:noProof/>
          <w:kern w:val="0"/>
          <w:sz w:val="22"/>
          <w:szCs w:val="22"/>
        </w:rPr>
        <w:pict w14:anchorId="274C382D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30B84522" w14:textId="77777777" w:rsidR="00E472D8" w:rsidRPr="00E472D8" w:rsidRDefault="00E472D8" w:rsidP="00E472D8">
      <w:pPr>
        <w:spacing w:before="100" w:beforeAutospacing="1" w:after="100" w:afterAutospacing="1" w:line="240" w:lineRule="auto"/>
        <w:outlineLvl w:val="1"/>
        <w:rPr>
          <w:rFonts w:ascii="Aptos" w:eastAsia="Times New Roman" w:hAnsi="Aptos" w:cs="Times New Roman"/>
          <w:b/>
          <w:bCs/>
          <w:kern w:val="0"/>
          <w:sz w:val="32"/>
          <w:szCs w:val="32"/>
          <w14:ligatures w14:val="none"/>
        </w:rPr>
      </w:pPr>
      <w:r w:rsidRPr="00E472D8">
        <w:rPr>
          <w:rFonts w:ascii="Aptos" w:eastAsia="Times New Roman" w:hAnsi="Aptos" w:cs="Times New Roman"/>
          <w:b/>
          <w:bCs/>
          <w:kern w:val="0"/>
          <w:sz w:val="32"/>
          <w:szCs w:val="32"/>
          <w14:ligatures w14:val="none"/>
        </w:rPr>
        <w:t>Infrastructure and Sustainability Commitments</w:t>
      </w:r>
    </w:p>
    <w:p w14:paraId="35515367" w14:textId="77777777" w:rsidR="00C1449A" w:rsidRPr="00910D2B" w:rsidRDefault="00C1449A" w:rsidP="00910D2B">
      <w:pPr>
        <w:spacing w:before="240" w:after="240" w:line="240" w:lineRule="auto"/>
        <w:rPr>
          <w:rFonts w:ascii="Aptos" w:eastAsia="Times New Roman" w:hAnsi="Aptos" w:cs="Times New Roman"/>
          <w:kern w:val="0"/>
          <w:sz w:val="22"/>
          <w:szCs w:val="22"/>
          <w14:ligatures w14:val="none"/>
        </w:rPr>
      </w:pPr>
      <w:r w:rsidRPr="00910D2B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>Costa Calatagan integrates sustainable estate systems including solar power, water reuse, and a planned green farm to support F&amp;B and serve as an educational hub. It also aims to partner with local academic institutions to build a trained hospitality workforce aligned with estate values.</w:t>
      </w:r>
    </w:p>
    <w:p w14:paraId="3D28A9EC" w14:textId="02806811" w:rsidR="00E472D8" w:rsidRPr="00E472D8" w:rsidRDefault="00910D2B" w:rsidP="00910D2B">
      <w:pPr>
        <w:spacing w:before="240" w:after="240" w:line="240" w:lineRule="auto"/>
        <w:rPr>
          <w:rFonts w:ascii="Aptos" w:eastAsia="Times New Roman" w:hAnsi="Aptos" w:cs="Times New Roman"/>
          <w:kern w:val="0"/>
          <w:sz w:val="22"/>
          <w:szCs w:val="22"/>
          <w14:ligatures w14:val="none"/>
        </w:rPr>
      </w:pPr>
      <w:r w:rsidRPr="00910D2B">
        <w:rPr>
          <w:rFonts w:ascii="Aptos" w:eastAsia="Times New Roman" w:hAnsi="Aptos" w:cs="Times New Roman"/>
          <w:kern w:val="0"/>
          <w:sz w:val="22"/>
          <w:szCs w:val="22"/>
          <w14:ligatures w14:val="none"/>
        </w:rPr>
        <w:t>This estate marks a new step for Ortigas Land, drawing on its mixed-use experience and applying a clear, well-managed approach to coastal development.</w:t>
      </w:r>
      <w:r w:rsidR="00000000">
        <w:rPr>
          <w:rFonts w:ascii="Aptos" w:eastAsia="Times New Roman" w:hAnsi="Aptos" w:cs="Times New Roman"/>
          <w:noProof/>
          <w:kern w:val="0"/>
          <w:sz w:val="22"/>
          <w:szCs w:val="22"/>
        </w:rPr>
        <w:pict w14:anchorId="3213DB0F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60D787A9" w14:textId="57C26632" w:rsidR="000E39A7" w:rsidRDefault="00B27EB4" w:rsidP="00B27EB4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i/>
          <w:iCs/>
          <w:kern w:val="0"/>
          <w:sz w:val="21"/>
          <w:szCs w:val="21"/>
          <w14:ligatures w14:val="none"/>
        </w:rPr>
      </w:pPr>
      <w:r w:rsidRPr="0074040B">
        <w:rPr>
          <w:rFonts w:ascii="Aptos" w:eastAsia="Times New Roman" w:hAnsi="Aptos" w:cs="Times New Roman"/>
          <w:b/>
          <w:bCs/>
          <w:i/>
          <w:iCs/>
          <w:kern w:val="0"/>
          <w:sz w:val="21"/>
          <w:szCs w:val="21"/>
          <w14:ligatures w14:val="none"/>
        </w:rPr>
        <w:t>Ortigas Land</w:t>
      </w:r>
      <w:r w:rsidRPr="0074040B">
        <w:rPr>
          <w:rFonts w:ascii="Aptos" w:eastAsia="Times New Roman" w:hAnsi="Aptos" w:cs="Times New Roman"/>
          <w:i/>
          <w:iCs/>
          <w:kern w:val="0"/>
          <w:sz w:val="21"/>
          <w:szCs w:val="21"/>
          <w14:ligatures w14:val="none"/>
        </w:rPr>
        <w:t xml:space="preserve"> is one of the pioneers in real estate development in the Philippines. Now in its </w:t>
      </w:r>
      <w:r>
        <w:rPr>
          <w:rFonts w:ascii="Aptos" w:eastAsia="Times New Roman" w:hAnsi="Aptos" w:cs="Times New Roman"/>
          <w:i/>
          <w:iCs/>
          <w:kern w:val="0"/>
          <w:sz w:val="21"/>
          <w:szCs w:val="21"/>
          <w14:ligatures w14:val="none"/>
        </w:rPr>
        <w:t>94th</w:t>
      </w:r>
      <w:r w:rsidRPr="0074040B">
        <w:rPr>
          <w:rFonts w:ascii="Aptos" w:eastAsia="Times New Roman" w:hAnsi="Aptos" w:cs="Times New Roman"/>
          <w:i/>
          <w:iCs/>
          <w:kern w:val="0"/>
          <w:sz w:val="21"/>
          <w:szCs w:val="21"/>
          <w14:ligatures w14:val="none"/>
        </w:rPr>
        <w:t xml:space="preserve"> year, the company continues to build great places for life through its iconic estates for living, shopping, business, and entertainment. It is the developer behind some of Metro Manila’s best-known mixed-use projects: </w:t>
      </w:r>
      <w:proofErr w:type="spellStart"/>
      <w:r w:rsidRPr="0074040B">
        <w:rPr>
          <w:rFonts w:ascii="Aptos" w:eastAsia="Times New Roman" w:hAnsi="Aptos" w:cs="Times New Roman"/>
          <w:i/>
          <w:iCs/>
          <w:kern w:val="0"/>
          <w:sz w:val="21"/>
          <w:szCs w:val="21"/>
          <w14:ligatures w14:val="none"/>
        </w:rPr>
        <w:t>Greenhills</w:t>
      </w:r>
      <w:proofErr w:type="spellEnd"/>
      <w:r w:rsidRPr="0074040B">
        <w:rPr>
          <w:rFonts w:ascii="Aptos" w:eastAsia="Times New Roman" w:hAnsi="Aptos" w:cs="Times New Roman"/>
          <w:i/>
          <w:iCs/>
          <w:kern w:val="0"/>
          <w:sz w:val="21"/>
          <w:szCs w:val="21"/>
          <w14:ligatures w14:val="none"/>
        </w:rPr>
        <w:t xml:space="preserve"> Center, Capitol Commons, Ortigas East, and </w:t>
      </w:r>
      <w:proofErr w:type="spellStart"/>
      <w:r w:rsidRPr="0074040B">
        <w:rPr>
          <w:rFonts w:ascii="Aptos" w:eastAsia="Times New Roman" w:hAnsi="Aptos" w:cs="Times New Roman"/>
          <w:i/>
          <w:iCs/>
          <w:kern w:val="0"/>
          <w:sz w:val="21"/>
          <w:szCs w:val="21"/>
          <w14:ligatures w14:val="none"/>
        </w:rPr>
        <w:t>Circulo</w:t>
      </w:r>
      <w:proofErr w:type="spellEnd"/>
      <w:r w:rsidRPr="0074040B">
        <w:rPr>
          <w:rFonts w:ascii="Aptos" w:eastAsia="Times New Roman" w:hAnsi="Aptos" w:cs="Times New Roman"/>
          <w:i/>
          <w:iCs/>
          <w:kern w:val="0"/>
          <w:sz w:val="21"/>
          <w:szCs w:val="21"/>
          <w14:ligatures w14:val="none"/>
        </w:rPr>
        <w:t xml:space="preserve"> Verde. For more information visit </w:t>
      </w:r>
      <w:hyperlink r:id="rId7" w:history="1">
        <w:r w:rsidRPr="0074040B">
          <w:rPr>
            <w:rFonts w:ascii="Aptos" w:eastAsia="Times New Roman" w:hAnsi="Aptos" w:cs="Times New Roman"/>
            <w:i/>
            <w:iCs/>
            <w:color w:val="0000FF"/>
            <w:kern w:val="0"/>
            <w:sz w:val="21"/>
            <w:szCs w:val="21"/>
            <w:u w:val="single"/>
            <w14:ligatures w14:val="none"/>
          </w:rPr>
          <w:t>www.ortigas.land</w:t>
        </w:r>
      </w:hyperlink>
      <w:r w:rsidRPr="0074040B">
        <w:rPr>
          <w:rFonts w:ascii="Aptos" w:eastAsia="Times New Roman" w:hAnsi="Aptos" w:cs="Times New Roman"/>
          <w:i/>
          <w:iCs/>
          <w:kern w:val="0"/>
          <w:sz w:val="21"/>
          <w:szCs w:val="21"/>
          <w14:ligatures w14:val="none"/>
        </w:rPr>
        <w:t>.</w:t>
      </w:r>
    </w:p>
    <w:p w14:paraId="6E217454" w14:textId="77777777" w:rsidR="000E39A7" w:rsidRDefault="000E39A7" w:rsidP="00B27EB4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i/>
          <w:iCs/>
          <w:kern w:val="0"/>
          <w:sz w:val="21"/>
          <w:szCs w:val="21"/>
          <w14:ligatures w14:val="none"/>
        </w:rPr>
      </w:pPr>
    </w:p>
    <w:p w14:paraId="0599FB03" w14:textId="512A1DB4" w:rsidR="000E39A7" w:rsidRPr="000E39A7" w:rsidRDefault="000E39A7" w:rsidP="00B27EB4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sz w:val="21"/>
          <w:szCs w:val="21"/>
          <w14:ligatures w14:val="none"/>
        </w:rPr>
      </w:pPr>
      <w:r>
        <w:rPr>
          <w:rFonts w:ascii="Aptos" w:eastAsia="Times New Roman" w:hAnsi="Aptos" w:cs="Times New Roman"/>
          <w:kern w:val="0"/>
          <w:sz w:val="21"/>
          <w:szCs w:val="21"/>
          <w14:ligatures w14:val="none"/>
        </w:rPr>
        <w:t>Media Contacts:</w:t>
      </w:r>
    </w:p>
    <w:p w14:paraId="00852BE1" w14:textId="58AAEF26" w:rsidR="00F42941" w:rsidRDefault="000E39A7" w:rsidP="000E39A7">
      <w:pPr>
        <w:spacing w:after="0" w:line="240" w:lineRule="auto"/>
        <w:rPr>
          <w:rFonts w:ascii="Aptos" w:hAnsi="Aptos"/>
          <w:sz w:val="22"/>
          <w:szCs w:val="22"/>
        </w:rPr>
      </w:pPr>
      <w:r>
        <w:rPr>
          <w:rFonts w:ascii="Aptos" w:hAnsi="Aptos"/>
          <w:sz w:val="22"/>
          <w:szCs w:val="22"/>
        </w:rPr>
        <w:t>Strategic Works, Inc.</w:t>
      </w:r>
    </w:p>
    <w:p w14:paraId="575A0181" w14:textId="784C9ABA" w:rsidR="000E39A7" w:rsidRDefault="000E39A7" w:rsidP="000E39A7">
      <w:pPr>
        <w:spacing w:after="0" w:line="240" w:lineRule="auto"/>
        <w:rPr>
          <w:rFonts w:ascii="Aptos" w:hAnsi="Aptos"/>
          <w:sz w:val="22"/>
          <w:szCs w:val="22"/>
        </w:rPr>
      </w:pPr>
      <w:r>
        <w:rPr>
          <w:rFonts w:ascii="Aptos" w:hAnsi="Aptos"/>
          <w:sz w:val="22"/>
          <w:szCs w:val="22"/>
        </w:rPr>
        <w:t xml:space="preserve">Jackie Arias </w:t>
      </w:r>
    </w:p>
    <w:p w14:paraId="64FD4CC7" w14:textId="778D5D41" w:rsidR="000E39A7" w:rsidRPr="000E39A7" w:rsidRDefault="000E39A7" w:rsidP="000E39A7">
      <w:pPr>
        <w:spacing w:after="0" w:line="240" w:lineRule="auto"/>
        <w:rPr>
          <w:rFonts w:ascii="Aptos" w:hAnsi="Aptos"/>
          <w:sz w:val="22"/>
          <w:szCs w:val="22"/>
        </w:rPr>
      </w:pPr>
      <w:r>
        <w:rPr>
          <w:rFonts w:ascii="Aptos" w:hAnsi="Aptos"/>
          <w:sz w:val="22"/>
          <w:szCs w:val="22"/>
        </w:rPr>
        <w:t>PR Officer</w:t>
      </w:r>
    </w:p>
    <w:p w14:paraId="64776521" w14:textId="77777777" w:rsidR="000E39A7" w:rsidRPr="000E39A7" w:rsidRDefault="000E39A7" w:rsidP="000E39A7">
      <w:pPr>
        <w:spacing w:after="0" w:line="240" w:lineRule="auto"/>
        <w:rPr>
          <w:rFonts w:ascii="Aptos" w:hAnsi="Aptos"/>
          <w:sz w:val="22"/>
          <w:szCs w:val="22"/>
        </w:rPr>
      </w:pPr>
      <w:r w:rsidRPr="000E39A7">
        <w:rPr>
          <w:rFonts w:ascii="Aptos" w:hAnsi="Aptos"/>
          <w:sz w:val="22"/>
          <w:szCs w:val="22"/>
        </w:rPr>
        <w:t>09177104046</w:t>
      </w:r>
    </w:p>
    <w:p w14:paraId="760A5A39" w14:textId="536F7FF9" w:rsidR="000E39A7" w:rsidRPr="000E39A7" w:rsidRDefault="000E39A7" w:rsidP="000E39A7">
      <w:pPr>
        <w:spacing w:after="0" w:line="240" w:lineRule="auto"/>
        <w:rPr>
          <w:rFonts w:ascii="Aptos" w:hAnsi="Aptos"/>
          <w:sz w:val="22"/>
          <w:szCs w:val="22"/>
        </w:rPr>
      </w:pPr>
      <w:r w:rsidRPr="000E39A7">
        <w:rPr>
          <w:rFonts w:ascii="Aptos" w:hAnsi="Aptos"/>
          <w:sz w:val="22"/>
          <w:szCs w:val="22"/>
        </w:rPr>
        <w:t>jackie.arias@stratworks.ph</w:t>
      </w:r>
    </w:p>
    <w:sectPr w:rsidR="000E39A7" w:rsidRPr="000E39A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3C1B48"/>
    <w:multiLevelType w:val="multilevel"/>
    <w:tmpl w:val="9D2E6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8514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B2D"/>
    <w:rsid w:val="00005D87"/>
    <w:rsid w:val="0005716D"/>
    <w:rsid w:val="000E39A7"/>
    <w:rsid w:val="00126853"/>
    <w:rsid w:val="00127E55"/>
    <w:rsid w:val="00384B2D"/>
    <w:rsid w:val="003E5BFF"/>
    <w:rsid w:val="00445DFA"/>
    <w:rsid w:val="00452AE6"/>
    <w:rsid w:val="00475EEF"/>
    <w:rsid w:val="004D4CAB"/>
    <w:rsid w:val="00554F18"/>
    <w:rsid w:val="0056449F"/>
    <w:rsid w:val="005671A7"/>
    <w:rsid w:val="005B1C1D"/>
    <w:rsid w:val="00705468"/>
    <w:rsid w:val="008642A6"/>
    <w:rsid w:val="00870A1E"/>
    <w:rsid w:val="00910D2B"/>
    <w:rsid w:val="00924CAE"/>
    <w:rsid w:val="009F5380"/>
    <w:rsid w:val="00A93F49"/>
    <w:rsid w:val="00A944C5"/>
    <w:rsid w:val="00B11C0F"/>
    <w:rsid w:val="00B27EB4"/>
    <w:rsid w:val="00C001AA"/>
    <w:rsid w:val="00C1449A"/>
    <w:rsid w:val="00C64E25"/>
    <w:rsid w:val="00C9212C"/>
    <w:rsid w:val="00CD089F"/>
    <w:rsid w:val="00D33CF9"/>
    <w:rsid w:val="00D8182F"/>
    <w:rsid w:val="00DA7DCA"/>
    <w:rsid w:val="00DB53BF"/>
    <w:rsid w:val="00E07A82"/>
    <w:rsid w:val="00E472D8"/>
    <w:rsid w:val="00F42941"/>
    <w:rsid w:val="00F7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98261"/>
  <w15:chartTrackingRefBased/>
  <w15:docId w15:val="{544A06DE-0118-F243-BB6A-C144C05E3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4B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4B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4B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4B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4B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4B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4B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4B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4B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4B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84B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4B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4B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4B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4B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4B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4B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4B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4B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4B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4B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4B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4B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4B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4B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4B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4B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4B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4B2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84B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384B2D"/>
    <w:rPr>
      <w:b/>
      <w:bCs/>
    </w:rPr>
  </w:style>
  <w:style w:type="character" w:styleId="Emphasis">
    <w:name w:val="Emphasis"/>
    <w:basedOn w:val="DefaultParagraphFont"/>
    <w:uiPriority w:val="20"/>
    <w:qFormat/>
    <w:rsid w:val="00384B2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84B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ortigas.land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Roxan A. Dela Cruz</dc:creator>
  <cp:keywords/>
  <dc:description/>
  <cp:lastModifiedBy>Christine Isabel Donato-Calvelo</cp:lastModifiedBy>
  <cp:revision>24</cp:revision>
  <cp:lastPrinted>2025-07-30T08:24:00Z</cp:lastPrinted>
  <dcterms:created xsi:type="dcterms:W3CDTF">2025-07-29T02:06:00Z</dcterms:created>
  <dcterms:modified xsi:type="dcterms:W3CDTF">2025-08-06T02:41:00Z</dcterms:modified>
</cp:coreProperties>
</file>